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E3" w:rsidRPr="00071218" w:rsidRDefault="005325E3" w:rsidP="005325E3">
      <w:pPr>
        <w:suppressAutoHyphens/>
        <w:spacing w:before="57" w:after="57" w:line="288" w:lineRule="auto"/>
        <w:jc w:val="center"/>
        <w:textAlignment w:val="center"/>
        <w:rPr>
          <w:rFonts w:ascii="Arial" w:eastAsia="Calibri" w:hAnsi="Arial" w:cs="Arial"/>
          <w:b/>
          <w:iCs/>
          <w:color w:val="000000"/>
          <w:sz w:val="24"/>
          <w:szCs w:val="24"/>
          <w:lang w:val="es-ES" w:eastAsia="es-CO"/>
        </w:rPr>
      </w:pPr>
      <w:r w:rsidRPr="00071218">
        <w:rPr>
          <w:rFonts w:ascii="Arial" w:eastAsia="Calibri" w:hAnsi="Arial" w:cs="Arial"/>
          <w:b/>
          <w:iCs/>
          <w:color w:val="000000"/>
          <w:sz w:val="24"/>
          <w:szCs w:val="24"/>
          <w:lang w:val="es-ES" w:eastAsia="es-CO"/>
        </w:rPr>
        <w:t>TEXTO APROBADO EN COMISION PRIMERA DE LA H. CAMARA DE REPRESENTANTES AL PROYECTO DE LE</w:t>
      </w:r>
      <w:r>
        <w:rPr>
          <w:rFonts w:ascii="Arial" w:eastAsia="Calibri" w:hAnsi="Arial" w:cs="Arial"/>
          <w:b/>
          <w:iCs/>
          <w:color w:val="000000"/>
          <w:sz w:val="24"/>
          <w:szCs w:val="24"/>
          <w:lang w:val="es-ES" w:eastAsia="es-CO"/>
        </w:rPr>
        <w:t xml:space="preserve">Y </w:t>
      </w:r>
      <w:r w:rsidRPr="00071218">
        <w:rPr>
          <w:rFonts w:ascii="Arial" w:eastAsia="Calibri" w:hAnsi="Arial" w:cs="Arial"/>
          <w:b/>
          <w:iCs/>
          <w:color w:val="000000"/>
          <w:sz w:val="24"/>
          <w:szCs w:val="24"/>
          <w:lang w:val="es-ES" w:eastAsia="es-CO"/>
        </w:rPr>
        <w:t xml:space="preserve">NO. </w:t>
      </w:r>
      <w:r>
        <w:rPr>
          <w:rFonts w:ascii="Arial" w:eastAsia="Calibri" w:hAnsi="Arial" w:cs="Arial"/>
          <w:b/>
          <w:iCs/>
          <w:color w:val="000000"/>
          <w:sz w:val="24"/>
          <w:szCs w:val="24"/>
          <w:lang w:val="es-ES" w:eastAsia="es-CO"/>
        </w:rPr>
        <w:t xml:space="preserve">091 </w:t>
      </w:r>
      <w:r w:rsidRPr="00071218">
        <w:rPr>
          <w:rFonts w:ascii="Arial" w:eastAsia="Calibri" w:hAnsi="Arial" w:cs="Arial"/>
          <w:b/>
          <w:iCs/>
          <w:color w:val="000000"/>
          <w:sz w:val="24"/>
          <w:szCs w:val="24"/>
          <w:lang w:val="es-ES" w:eastAsia="es-CO"/>
        </w:rPr>
        <w:t>DE 2014 CÁMARA</w:t>
      </w:r>
      <w:r>
        <w:rPr>
          <w:rFonts w:ascii="Arial" w:eastAsia="Calibri" w:hAnsi="Arial" w:cs="Arial"/>
          <w:b/>
          <w:iCs/>
          <w:color w:val="000000"/>
          <w:sz w:val="24"/>
          <w:szCs w:val="24"/>
          <w:lang w:val="es-ES" w:eastAsia="es-CO"/>
        </w:rPr>
        <w:t xml:space="preserve"> </w:t>
      </w:r>
      <w:r w:rsidRPr="00071218">
        <w:rPr>
          <w:rFonts w:ascii="Arial" w:eastAsia="Calibri" w:hAnsi="Arial" w:cs="Arial"/>
          <w:b/>
          <w:iCs/>
          <w:color w:val="000000"/>
          <w:sz w:val="24"/>
          <w:szCs w:val="24"/>
          <w:lang w:val="es-ES" w:eastAsia="es-CO"/>
        </w:rPr>
        <w:t>“POR</w:t>
      </w:r>
      <w:r>
        <w:rPr>
          <w:rFonts w:ascii="Arial" w:eastAsia="Calibri" w:hAnsi="Arial" w:cs="Arial"/>
          <w:b/>
          <w:iCs/>
          <w:color w:val="000000"/>
          <w:sz w:val="24"/>
          <w:szCs w:val="24"/>
          <w:lang w:val="es-ES" w:eastAsia="es-CO"/>
        </w:rPr>
        <w:t xml:space="preserve"> MEDIO DE LA CUAL SE MODIFICA</w:t>
      </w:r>
      <w:r w:rsidR="002D320B">
        <w:rPr>
          <w:rFonts w:ascii="Arial" w:eastAsia="Calibri" w:hAnsi="Arial" w:cs="Arial"/>
          <w:b/>
          <w:iCs/>
          <w:color w:val="000000"/>
          <w:sz w:val="24"/>
          <w:szCs w:val="24"/>
          <w:lang w:val="es-ES" w:eastAsia="es-CO"/>
        </w:rPr>
        <w:t>N</w:t>
      </w:r>
      <w:r>
        <w:rPr>
          <w:rFonts w:ascii="Arial" w:eastAsia="Calibri" w:hAnsi="Arial" w:cs="Arial"/>
          <w:b/>
          <w:iCs/>
          <w:color w:val="000000"/>
          <w:sz w:val="24"/>
          <w:szCs w:val="24"/>
          <w:lang w:val="es-ES" w:eastAsia="es-CO"/>
        </w:rPr>
        <w:t xml:space="preserve"> LA LEY 73 DE 1988 Y LA LEY 919 DE 2004 EN MATERIA DE DONACION DE ORGANOS Y SE DICTAN OTRAS DISPOSICIONES</w:t>
      </w:r>
      <w:r w:rsidRPr="00071218">
        <w:rPr>
          <w:rFonts w:ascii="Arial" w:eastAsia="Calibri" w:hAnsi="Arial" w:cs="Arial"/>
          <w:b/>
          <w:iCs/>
          <w:color w:val="000000"/>
          <w:sz w:val="24"/>
          <w:szCs w:val="24"/>
          <w:lang w:val="es-ES" w:eastAsia="es-CO"/>
        </w:rPr>
        <w:t>”.</w:t>
      </w:r>
    </w:p>
    <w:p w:rsidR="005325E3" w:rsidRPr="00071218" w:rsidRDefault="005325E3" w:rsidP="005325E3">
      <w:pPr>
        <w:suppressAutoHyphens/>
        <w:spacing w:before="57" w:after="57" w:line="288" w:lineRule="auto"/>
        <w:jc w:val="center"/>
        <w:textAlignment w:val="center"/>
        <w:rPr>
          <w:rFonts w:ascii="Arial" w:eastAsia="Calibri" w:hAnsi="Arial" w:cs="Arial"/>
          <w:b/>
          <w:iCs/>
          <w:color w:val="000000"/>
          <w:sz w:val="24"/>
          <w:szCs w:val="24"/>
          <w:lang w:val="es-ES" w:eastAsia="es-CO"/>
        </w:rPr>
      </w:pPr>
    </w:p>
    <w:p w:rsidR="005325E3" w:rsidRPr="00071218" w:rsidRDefault="005325E3" w:rsidP="005325E3">
      <w:pPr>
        <w:spacing w:before="57" w:after="57" w:line="288" w:lineRule="auto"/>
        <w:ind w:firstLine="283"/>
        <w:jc w:val="center"/>
        <w:textAlignment w:val="center"/>
        <w:rPr>
          <w:rFonts w:ascii="Arial" w:eastAsia="Calibri" w:hAnsi="Arial" w:cs="Arial"/>
          <w:b/>
          <w:color w:val="000000"/>
          <w:sz w:val="24"/>
          <w:szCs w:val="24"/>
          <w:lang w:val="es-ES" w:eastAsia="es-CO"/>
        </w:rPr>
      </w:pPr>
      <w:r w:rsidRPr="00071218">
        <w:rPr>
          <w:rFonts w:ascii="Arial" w:eastAsia="Calibri" w:hAnsi="Arial" w:cs="Arial"/>
          <w:b/>
          <w:color w:val="000000"/>
          <w:sz w:val="24"/>
          <w:szCs w:val="24"/>
          <w:lang w:val="es-ES" w:eastAsia="es-CO"/>
        </w:rPr>
        <w:t>EL CONGRESO DE COLOMBIA</w:t>
      </w:r>
    </w:p>
    <w:p w:rsidR="005325E3" w:rsidRDefault="005325E3" w:rsidP="005325E3">
      <w:pPr>
        <w:spacing w:before="57" w:after="57" w:line="288" w:lineRule="auto"/>
        <w:ind w:firstLine="283"/>
        <w:jc w:val="center"/>
        <w:textAlignment w:val="center"/>
        <w:rPr>
          <w:rFonts w:ascii="Arial" w:eastAsia="Calibri" w:hAnsi="Arial" w:cs="Arial"/>
          <w:b/>
          <w:color w:val="000000"/>
          <w:sz w:val="24"/>
          <w:szCs w:val="24"/>
          <w:lang w:val="es-ES" w:eastAsia="es-CO"/>
        </w:rPr>
      </w:pPr>
    </w:p>
    <w:p w:rsidR="005325E3" w:rsidRPr="00071218" w:rsidRDefault="005325E3" w:rsidP="005325E3">
      <w:pPr>
        <w:spacing w:before="57" w:after="57" w:line="288" w:lineRule="auto"/>
        <w:ind w:firstLine="283"/>
        <w:jc w:val="center"/>
        <w:textAlignment w:val="center"/>
        <w:rPr>
          <w:rFonts w:ascii="Arial" w:eastAsia="Calibri" w:hAnsi="Arial" w:cs="Arial"/>
          <w:b/>
          <w:color w:val="000000"/>
          <w:sz w:val="24"/>
          <w:szCs w:val="24"/>
          <w:lang w:val="es-ES" w:eastAsia="es-CO"/>
        </w:rPr>
      </w:pPr>
      <w:r w:rsidRPr="00071218">
        <w:rPr>
          <w:rFonts w:ascii="Arial" w:eastAsia="Calibri" w:hAnsi="Arial" w:cs="Arial"/>
          <w:b/>
          <w:color w:val="000000"/>
          <w:sz w:val="24"/>
          <w:szCs w:val="24"/>
          <w:lang w:val="es-ES" w:eastAsia="es-CO"/>
        </w:rPr>
        <w:t>DECRETA:</w:t>
      </w:r>
    </w:p>
    <w:p w:rsidR="005325E3" w:rsidRDefault="005325E3" w:rsidP="00164F15">
      <w:pPr>
        <w:pBdr>
          <w:top w:val="nil"/>
          <w:left w:val="nil"/>
          <w:bottom w:val="nil"/>
          <w:right w:val="nil"/>
          <w:between w:val="nil"/>
          <w:bar w:val="nil"/>
        </w:pBdr>
        <w:spacing w:after="0"/>
        <w:jc w:val="both"/>
        <w:rPr>
          <w:rFonts w:ascii="Arial" w:eastAsia="Calibri" w:hAnsi="Arial" w:cs="Arial"/>
          <w:b/>
          <w:sz w:val="20"/>
          <w:szCs w:val="20"/>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1º.</w:t>
      </w:r>
      <w:r w:rsidRPr="005325E3">
        <w:rPr>
          <w:rFonts w:ascii="Arial" w:eastAsia="Calibri" w:hAnsi="Arial" w:cs="Arial"/>
          <w:sz w:val="24"/>
          <w:szCs w:val="24"/>
          <w:u w:color="000000"/>
          <w:bdr w:val="nil"/>
          <w:lang w:val="es-ES_tradnl" w:eastAsia="es-CO"/>
        </w:rPr>
        <w:t xml:space="preserve"> </w:t>
      </w:r>
      <w:r w:rsidRPr="005325E3">
        <w:rPr>
          <w:rFonts w:ascii="Arial" w:eastAsia="Calibri" w:hAnsi="Arial" w:cs="Arial"/>
          <w:iCs/>
          <w:sz w:val="24"/>
          <w:szCs w:val="24"/>
          <w:u w:color="000000"/>
          <w:bdr w:val="nil"/>
          <w:lang w:val="es-ES_tradnl" w:eastAsia="es-CO"/>
        </w:rPr>
        <w:t>Objeto</w:t>
      </w:r>
      <w:r w:rsidRPr="005325E3">
        <w:rPr>
          <w:rFonts w:ascii="Arial" w:eastAsia="Calibri" w:hAnsi="Arial" w:cs="Arial"/>
          <w:sz w:val="24"/>
          <w:szCs w:val="24"/>
          <w:u w:color="000000"/>
          <w:bdr w:val="nil"/>
          <w:lang w:val="es-ES_tradnl" w:eastAsia="es-CO"/>
        </w:rPr>
        <w:t xml:space="preserve">. La presente Ley tiene por objeto ampliar la presunción legal de donación de órganos y componentes anatómicos para fines de trasplantes u otros usos terapéuticos.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2º.</w:t>
      </w:r>
      <w:r w:rsidRPr="005325E3">
        <w:rPr>
          <w:rFonts w:ascii="Arial" w:eastAsia="Calibri" w:hAnsi="Arial" w:cs="Arial"/>
          <w:sz w:val="24"/>
          <w:szCs w:val="24"/>
          <w:u w:color="000000"/>
          <w:bdr w:val="nil"/>
          <w:lang w:val="es-ES_tradnl" w:eastAsia="es-CO"/>
        </w:rPr>
        <w:t xml:space="preserve"> Modifíquese el </w:t>
      </w:r>
      <w:r w:rsidR="002D6043">
        <w:rPr>
          <w:rFonts w:ascii="Arial" w:eastAsia="Calibri" w:hAnsi="Arial" w:cs="Arial"/>
          <w:sz w:val="24"/>
          <w:szCs w:val="24"/>
          <w:u w:color="000000"/>
          <w:bdr w:val="nil"/>
          <w:lang w:val="es-ES_tradnl" w:eastAsia="es-CO"/>
        </w:rPr>
        <w:t>A</w:t>
      </w:r>
      <w:r w:rsidRPr="005325E3">
        <w:rPr>
          <w:rFonts w:ascii="Arial" w:eastAsia="Calibri" w:hAnsi="Arial" w:cs="Arial"/>
          <w:sz w:val="24"/>
          <w:szCs w:val="24"/>
          <w:u w:color="000000"/>
          <w:bdr w:val="nil"/>
          <w:lang w:val="es-ES_tradnl" w:eastAsia="es-CO"/>
        </w:rPr>
        <w:t>rtículo 1º de la Ley 73 de 1988 el cual quedará así:</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r w:rsidRPr="00582799">
        <w:rPr>
          <w:rFonts w:ascii="Arial" w:eastAsia="Calibri" w:hAnsi="Arial" w:cs="Arial"/>
          <w:b/>
          <w:iCs/>
          <w:sz w:val="24"/>
          <w:szCs w:val="24"/>
          <w:u w:color="000000"/>
          <w:bdr w:val="nil"/>
          <w:lang w:val="es-ES_tradnl" w:eastAsia="es-CO"/>
        </w:rPr>
        <w:t>Artículo 1º</w:t>
      </w:r>
      <w:r w:rsidRPr="005325E3">
        <w:rPr>
          <w:rFonts w:ascii="Arial" w:eastAsia="Calibri" w:hAnsi="Arial" w:cs="Arial"/>
          <w:iCs/>
          <w:sz w:val="24"/>
          <w:szCs w:val="24"/>
          <w:u w:color="000000"/>
          <w:bdr w:val="nil"/>
          <w:lang w:val="es-ES_tradnl" w:eastAsia="es-CO"/>
        </w:rPr>
        <w:t xml:space="preserve">. El parágrafo del </w:t>
      </w:r>
      <w:r w:rsidR="002D6043">
        <w:rPr>
          <w:rFonts w:ascii="Arial" w:eastAsia="Calibri" w:hAnsi="Arial" w:cs="Arial"/>
          <w:iCs/>
          <w:sz w:val="24"/>
          <w:szCs w:val="24"/>
          <w:u w:color="000000"/>
          <w:bdr w:val="nil"/>
          <w:lang w:val="es-ES_tradnl" w:eastAsia="es-CO"/>
        </w:rPr>
        <w:t>A</w:t>
      </w:r>
      <w:r w:rsidRPr="005325E3">
        <w:rPr>
          <w:rFonts w:ascii="Arial" w:eastAsia="Calibri" w:hAnsi="Arial" w:cs="Arial"/>
          <w:iCs/>
          <w:sz w:val="24"/>
          <w:szCs w:val="24"/>
          <w:u w:color="000000"/>
          <w:bdr w:val="nil"/>
          <w:lang w:val="es-ES_tradnl" w:eastAsia="es-CO"/>
        </w:rPr>
        <w:t>rtículo 540 de la Ley 09 de 1979, quedará así:</w:t>
      </w:r>
    </w:p>
    <w:p w:rsidR="002D6043" w:rsidRDefault="002D6043" w:rsidP="00164F15">
      <w:pPr>
        <w:pBdr>
          <w:top w:val="nil"/>
          <w:left w:val="nil"/>
          <w:bottom w:val="nil"/>
          <w:right w:val="nil"/>
          <w:between w:val="nil"/>
          <w:bar w:val="nil"/>
        </w:pBdr>
        <w:spacing w:after="0"/>
        <w:ind w:left="284"/>
        <w:jc w:val="both"/>
        <w:rPr>
          <w:rFonts w:ascii="Arial" w:eastAsia="Calibri" w:hAnsi="Arial" w:cs="Arial"/>
          <w:iCs/>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r w:rsidRPr="00582799">
        <w:rPr>
          <w:rFonts w:ascii="Arial" w:eastAsia="Calibri" w:hAnsi="Arial" w:cs="Arial"/>
          <w:b/>
          <w:iCs/>
          <w:sz w:val="24"/>
          <w:szCs w:val="24"/>
          <w:u w:color="000000"/>
          <w:bdr w:val="nil"/>
          <w:lang w:val="es-ES_tradnl" w:eastAsia="es-CO"/>
        </w:rPr>
        <w:t>Artículo 540</w:t>
      </w:r>
      <w:r w:rsidRPr="005325E3">
        <w:rPr>
          <w:rFonts w:ascii="Arial" w:eastAsia="Calibri" w:hAnsi="Arial" w:cs="Arial"/>
          <w:iCs/>
          <w:sz w:val="24"/>
          <w:szCs w:val="24"/>
          <w:u w:color="000000"/>
          <w:bdr w:val="nil"/>
          <w:lang w:val="es-ES_tradnl" w:eastAsia="es-CO"/>
        </w:rPr>
        <w:t>.- Parágrafo. Sólo se podrá proceder a la utilización de los órganos, componentes anatómicos y líquidos orgánicos a que se refiere este artículo, cuando exista consentimiento del donante o presunción legal de donación.</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3º.</w:t>
      </w:r>
      <w:r w:rsidRPr="005325E3">
        <w:rPr>
          <w:rFonts w:ascii="Arial" w:eastAsia="Calibri" w:hAnsi="Arial" w:cs="Arial"/>
          <w:sz w:val="24"/>
          <w:szCs w:val="24"/>
          <w:u w:color="000000"/>
          <w:bdr w:val="nil"/>
          <w:lang w:val="es-ES_tradnl" w:eastAsia="es-CO"/>
        </w:rPr>
        <w:t xml:space="preserve"> Modifíquese el </w:t>
      </w:r>
      <w:r w:rsidR="002D6043">
        <w:rPr>
          <w:rFonts w:ascii="Arial" w:eastAsia="Calibri" w:hAnsi="Arial" w:cs="Arial"/>
          <w:sz w:val="24"/>
          <w:szCs w:val="24"/>
          <w:u w:color="000000"/>
          <w:bdr w:val="nil"/>
          <w:lang w:val="es-ES_tradnl" w:eastAsia="es-CO"/>
        </w:rPr>
        <w:t>A</w:t>
      </w:r>
      <w:r w:rsidRPr="005325E3">
        <w:rPr>
          <w:rFonts w:ascii="Arial" w:eastAsia="Calibri" w:hAnsi="Arial" w:cs="Arial"/>
          <w:sz w:val="24"/>
          <w:szCs w:val="24"/>
          <w:u w:color="000000"/>
          <w:bdr w:val="nil"/>
          <w:lang w:val="es-ES_tradnl" w:eastAsia="es-CO"/>
        </w:rPr>
        <w:t>rtículo 2º de la Ley 73 de 1988 el cual quedará así:</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r w:rsidRPr="005325E3">
        <w:rPr>
          <w:rFonts w:ascii="Arial" w:eastAsia="Calibri" w:hAnsi="Arial" w:cs="Arial"/>
          <w:iCs/>
          <w:sz w:val="24"/>
          <w:szCs w:val="24"/>
          <w:u w:color="000000"/>
          <w:bdr w:val="nil"/>
          <w:lang w:val="es-ES_tradnl" w:eastAsia="es-CO"/>
        </w:rPr>
        <w:t>Artículo 2º. Para los efectos de la presente Ley existe presunción legal de donación cuando una persona durante su vida se haya abstenido de ejercer el derecho que tiene a oponerse a que de su cuerpo se extraigan órganos o componentes anatómicos después de su fallecimiento.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4º.</w:t>
      </w:r>
      <w:r w:rsidRPr="005325E3">
        <w:rPr>
          <w:rFonts w:ascii="Arial" w:eastAsia="Calibri" w:hAnsi="Arial" w:cs="Arial"/>
          <w:sz w:val="24"/>
          <w:szCs w:val="24"/>
          <w:u w:color="000000"/>
          <w:bdr w:val="nil"/>
          <w:lang w:val="es-ES_tradnl" w:eastAsia="es-CO"/>
        </w:rPr>
        <w:t xml:space="preserve"> Teniendo en cuenta las disposiciones de la presente Ley, el Gobierno reglamentará dentro de los seis (6) meses siguientes la forma como las personas podrán manifestar su oposición a la presunción legal de donación.</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5º.</w:t>
      </w:r>
      <w:r w:rsidRPr="005325E3">
        <w:rPr>
          <w:rFonts w:ascii="Arial" w:eastAsia="Calibri" w:hAnsi="Arial" w:cs="Arial"/>
          <w:sz w:val="24"/>
          <w:szCs w:val="24"/>
          <w:u w:color="000000"/>
          <w:bdr w:val="nil"/>
          <w:lang w:val="es-ES_tradnl" w:eastAsia="es-CO"/>
        </w:rPr>
        <w:t xml:space="preserve"> El Gobierno a través del Ministerio de Salud, o quien haga sus veces, implementará estrategias de información a la población que sean claras, objetivas, idóneas y oportunas, sobre la existencia de la presunción legal de donación, las </w:t>
      </w:r>
      <w:r w:rsidRPr="005325E3">
        <w:rPr>
          <w:rFonts w:ascii="Arial" w:eastAsia="Calibri" w:hAnsi="Arial" w:cs="Arial"/>
          <w:sz w:val="24"/>
          <w:szCs w:val="24"/>
          <w:u w:color="000000"/>
          <w:bdr w:val="nil"/>
          <w:lang w:val="es-ES_tradnl" w:eastAsia="es-CO"/>
        </w:rPr>
        <w:lastRenderedPageBreak/>
        <w:t xml:space="preserve">implicaciones de la ablación de órganos o tejidos, el derecho de oposición a la presunción legal de donación y los mecanismos para manifestarlo.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Theme="minorEastAsia" w:hAnsi="Arial" w:cs="Arial"/>
          <w:bCs/>
          <w:color w:val="000000"/>
          <w:kern w:val="1"/>
          <w:sz w:val="24"/>
          <w:szCs w:val="24"/>
          <w:u w:color="000000"/>
          <w:bdr w:val="nil"/>
          <w:lang w:eastAsia="es-CO"/>
        </w:rPr>
      </w:pPr>
      <w:r w:rsidRPr="005325E3">
        <w:rPr>
          <w:rFonts w:ascii="Arial" w:eastAsiaTheme="minorEastAsia" w:hAnsi="Arial" w:cs="Arial"/>
          <w:b/>
          <w:bCs/>
          <w:color w:val="000000"/>
          <w:kern w:val="1"/>
          <w:sz w:val="24"/>
          <w:szCs w:val="24"/>
          <w:u w:color="000000"/>
          <w:bdr w:val="nil"/>
          <w:lang w:eastAsia="es-CO"/>
        </w:rPr>
        <w:t>Artículo 6°.</w:t>
      </w:r>
      <w:r w:rsidRPr="005325E3">
        <w:rPr>
          <w:rFonts w:ascii="Arial" w:eastAsiaTheme="minorEastAsia" w:hAnsi="Arial" w:cs="Arial"/>
          <w:bCs/>
          <w:color w:val="000000"/>
          <w:kern w:val="1"/>
          <w:sz w:val="24"/>
          <w:szCs w:val="24"/>
          <w:u w:color="000000"/>
          <w:bdr w:val="nil"/>
          <w:lang w:eastAsia="es-CO"/>
        </w:rPr>
        <w:t xml:space="preserve"> Un cinco por ciento (5%) de la pauta oficial del horario triple A deberá destinarse a promocionar la donación de órganos.</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7º.</w:t>
      </w:r>
      <w:r w:rsidRPr="005325E3">
        <w:rPr>
          <w:rFonts w:ascii="Arial" w:eastAsia="Calibri" w:hAnsi="Arial" w:cs="Arial"/>
          <w:sz w:val="24"/>
          <w:szCs w:val="24"/>
          <w:u w:color="000000"/>
          <w:bdr w:val="nil"/>
          <w:lang w:val="es-ES_tradnl" w:eastAsia="es-CO"/>
        </w:rPr>
        <w:t xml:space="preserve"> Los rescates de órganos obedecerán a las necesidades nacionales de donación y trasplantes.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sz w:val="24"/>
          <w:szCs w:val="24"/>
          <w:u w:color="000000"/>
          <w:bdr w:val="nil"/>
          <w:lang w:val="es-ES_tradnl" w:eastAsia="es-CO"/>
        </w:rPr>
        <w:t>Los criterios únicos nacionales de distribución y asignación de órganos y tejidos deberán ser definidos por el Instituto Nacional de Salud (INS) atendiendo la escala de severidad de la enfermedad del paciente y la compatibilidad. El Gobierno reglamentará la materia.</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sz w:val="24"/>
          <w:szCs w:val="24"/>
          <w:u w:color="000000"/>
          <w:bdr w:val="nil"/>
          <w:lang w:val="es-ES_tradnl" w:eastAsia="es-CO"/>
        </w:rPr>
        <w:t xml:space="preserve">El Instituto Nacional de Salud asume a partir de la presente ley funciones de máxima autoridad administrativa de la estructura y organización de la Red de Donación.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8°.</w:t>
      </w:r>
      <w:r w:rsidRPr="005325E3">
        <w:rPr>
          <w:rFonts w:ascii="Arial" w:eastAsia="Calibri" w:hAnsi="Arial" w:cs="Arial"/>
          <w:sz w:val="24"/>
          <w:szCs w:val="24"/>
          <w:u w:color="000000"/>
          <w:bdr w:val="nil"/>
          <w:lang w:val="es-ES_tradnl" w:eastAsia="es-CO"/>
        </w:rPr>
        <w:t xml:space="preserve"> Las Instituciones Prestadoras de Salud (IPS) deberán contar con recursos humanos y técnicos idóneos a fin de detectar en tiempo real a los potenciales donantes de acuerdo con los criterios y competencias que establezca el Instituto Nacional de Salud (INS).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sz w:val="24"/>
          <w:szCs w:val="24"/>
          <w:u w:color="000000"/>
          <w:bdr w:val="nil"/>
          <w:lang w:val="es-ES_tradnl" w:eastAsia="es-CO"/>
        </w:rPr>
        <w:t xml:space="preserve">Las Instituciones Prestadoras de Salud (IPS) de nivel II, III y IV deberán contar con recursos humanos y técnicos idóneos para el diagnóstico de la muerte encefálica y para el mantenimiento del donante hasta el momento del rescate.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sz w:val="24"/>
          <w:szCs w:val="24"/>
          <w:u w:color="000000"/>
          <w:bdr w:val="nil"/>
          <w:lang w:val="es-ES_tradnl" w:eastAsia="es-CO"/>
        </w:rPr>
        <w:t xml:space="preserve">La auditoría de estos procedimientos estará a cargo del Instituto Nacional de Salud.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sz w:val="24"/>
          <w:szCs w:val="24"/>
          <w:u w:color="000000"/>
          <w:bdr w:val="nil"/>
          <w:lang w:val="es-ES_tradnl" w:eastAsia="es-CO"/>
        </w:rPr>
        <w:t>Parágrafo. El Gobierno reglamentará dentro de los seis (6) meses siguientes.</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9°.</w:t>
      </w:r>
      <w:r w:rsidRPr="005325E3">
        <w:rPr>
          <w:rFonts w:ascii="Arial" w:eastAsia="Calibri" w:hAnsi="Arial" w:cs="Arial"/>
          <w:sz w:val="24"/>
          <w:szCs w:val="24"/>
          <w:u w:color="000000"/>
          <w:bdr w:val="nil"/>
          <w:lang w:val="es-ES_tradnl" w:eastAsia="es-CO"/>
        </w:rPr>
        <w:t xml:space="preserve"> El procedimiento de retiro de componente anatómico de un cadáver, para fines de trasplante u otros usos terapéuticos, cuando deba practicarse autopsia médico-legal, será reglamentado por el Ministerio de Justicia y el Ministerio de Salud dentro de los seis (6) meses siguientes a partir de la expedición de la presente Ley.</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10.</w:t>
      </w:r>
      <w:r w:rsidRPr="005325E3">
        <w:rPr>
          <w:rFonts w:ascii="Arial" w:eastAsia="Calibri" w:hAnsi="Arial" w:cs="Arial"/>
          <w:sz w:val="24"/>
          <w:szCs w:val="24"/>
          <w:u w:color="000000"/>
          <w:bdr w:val="nil"/>
          <w:lang w:val="es-ES_tradnl" w:eastAsia="es-CO"/>
        </w:rPr>
        <w:t xml:space="preserve"> Se prohíbe la prestación de servicios de trasplante de órganos extranjeros no residentes en el territorio nacional, excepto cuando se trate de </w:t>
      </w:r>
      <w:r w:rsidRPr="005325E3">
        <w:rPr>
          <w:rFonts w:ascii="Arial" w:eastAsia="Calibri" w:hAnsi="Arial" w:cs="Arial"/>
          <w:sz w:val="24"/>
          <w:szCs w:val="24"/>
          <w:u w:color="000000"/>
          <w:bdr w:val="nil"/>
          <w:lang w:val="es-ES_tradnl" w:eastAsia="es-CO"/>
        </w:rPr>
        <w:lastRenderedPageBreak/>
        <w:t xml:space="preserve">pacientes con urgencia cero para trasplante según estrictos criterios definidos por el Instituto Nacional de Salud y previa aprobación del Instituto Nacional de Salud.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sz w:val="24"/>
          <w:szCs w:val="24"/>
          <w:u w:color="000000"/>
          <w:bdr w:val="nil"/>
          <w:lang w:val="es-ES_tradnl" w:eastAsia="es-CO"/>
        </w:rPr>
        <w:t xml:space="preserve">En materia de implante de tejidos, se podrán realizar trasplantes a extranjeros no residentes en Colombia únicamente de acuerdo con los criterios de urgencia médica definidos por el Instituto Nacional de Salud y previa consulta de disponibilidad de tejidos al Instituto Nacional de Salud.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11.</w:t>
      </w:r>
      <w:r w:rsidRPr="005325E3">
        <w:rPr>
          <w:rFonts w:ascii="Arial" w:eastAsia="Calibri" w:hAnsi="Arial" w:cs="Arial"/>
          <w:sz w:val="24"/>
          <w:szCs w:val="24"/>
          <w:u w:color="000000"/>
          <w:bdr w:val="nil"/>
          <w:lang w:val="es-ES_tradnl" w:eastAsia="es-CO"/>
        </w:rPr>
        <w:t xml:space="preserve"> El Ministerio de Salud deberá incluir partidas presupuestales suficientes para atender las responsabilidades y competencias atribuidas al Instituto Nacional de Salud en esta Ley.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12.</w:t>
      </w:r>
      <w:r w:rsidRPr="005325E3">
        <w:rPr>
          <w:rFonts w:ascii="Arial" w:eastAsia="Calibri" w:hAnsi="Arial" w:cs="Arial"/>
          <w:sz w:val="24"/>
          <w:szCs w:val="24"/>
          <w:u w:color="000000"/>
          <w:bdr w:val="nil"/>
          <w:lang w:val="es-ES_tradnl" w:eastAsia="es-CO"/>
        </w:rPr>
        <w:t xml:space="preserve"> Todo paciente que tenga una enfermedad que afecte un órgano susceptible de trasplante, incluido en el Plan Obligatorio de Salud (POS), deberá ser evaluado por una Institución Prestadora de Servicios de Salud (IPS) habilitada con servicio de trasplante para saber si es apto o no para ingresar a la lista de espera. Esta evaluación deberá realizarse dentro de los tres (3) siguientes al diagnóstico y si la persona es apta deberá ser ingresada inmediatamente a la lista de espera.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13.</w:t>
      </w:r>
      <w:r w:rsidRPr="005325E3">
        <w:rPr>
          <w:rFonts w:ascii="Arial" w:eastAsia="Calibri" w:hAnsi="Arial" w:cs="Arial"/>
          <w:sz w:val="24"/>
          <w:szCs w:val="24"/>
          <w:u w:color="000000"/>
          <w:bdr w:val="nil"/>
          <w:lang w:val="es-ES_tradnl" w:eastAsia="es-CO"/>
        </w:rPr>
        <w:t xml:space="preserve"> La obtención de tejidos y de médula ósea y la práctica de cualquiera de las actividades relacionadas con la obtención, extracción, procesamiento y distribución de los mismos, deberá hacerse por banco de tejidos o de médula ósea sin ánimo de lucro, autorizadas para tal fin, por el Instituto Nacional de Vigilancia de Medicamentos y Alimentos - INVIMA.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82799">
        <w:rPr>
          <w:rFonts w:ascii="Arial" w:eastAsia="Calibri" w:hAnsi="Arial" w:cs="Arial"/>
          <w:b/>
          <w:sz w:val="24"/>
          <w:szCs w:val="24"/>
          <w:u w:color="000000"/>
          <w:bdr w:val="nil"/>
          <w:lang w:val="es-ES_tradnl" w:eastAsia="es-CO"/>
        </w:rPr>
        <w:t>Parágrafo</w:t>
      </w:r>
      <w:r w:rsidRPr="005325E3">
        <w:rPr>
          <w:rFonts w:ascii="Arial" w:eastAsia="Calibri" w:hAnsi="Arial" w:cs="Arial"/>
          <w:sz w:val="24"/>
          <w:szCs w:val="24"/>
          <w:u w:color="000000"/>
          <w:bdr w:val="nil"/>
          <w:lang w:val="es-ES_tradnl" w:eastAsia="es-CO"/>
        </w:rPr>
        <w:t>. Se prohíbe la salida de tejidos o de médula ósea fuera del territorio nacional.</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14.</w:t>
      </w:r>
      <w:r w:rsidRPr="005325E3">
        <w:rPr>
          <w:rFonts w:ascii="Arial" w:eastAsia="Calibri" w:hAnsi="Arial" w:cs="Arial"/>
          <w:sz w:val="24"/>
          <w:szCs w:val="24"/>
          <w:u w:color="000000"/>
          <w:bdr w:val="nil"/>
          <w:lang w:val="es-ES_tradnl" w:eastAsia="es-CO"/>
        </w:rPr>
        <w:t xml:space="preserve"> El Ministerio de Salud y las entidades territoriales de salud en coordinación con la Red Nacional de Donación y Trasplantes, realizarán campañas públicas de promoción de la donación, mediante estrategias de información, educación y de comunicación para toda la población, con el fin de fomentar la conciencia solidaria que incremente la donación a favor de los enfermos que necesiten órganos y tejidos para trasplantes.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sz w:val="24"/>
          <w:szCs w:val="24"/>
          <w:u w:color="000000"/>
          <w:bdr w:val="nil"/>
          <w:lang w:val="es-ES_tradnl" w:eastAsia="es-CO"/>
        </w:rPr>
        <w:t xml:space="preserve">De las actividades realizadas para lograr tal fin se presentará un informe anual a las </w:t>
      </w:r>
      <w:r w:rsidR="00965EDD">
        <w:rPr>
          <w:rFonts w:ascii="Arial" w:eastAsia="Calibri" w:hAnsi="Arial" w:cs="Arial"/>
          <w:sz w:val="24"/>
          <w:szCs w:val="24"/>
          <w:u w:color="000000"/>
          <w:bdr w:val="nil"/>
          <w:lang w:val="es-ES_tradnl" w:eastAsia="es-CO"/>
        </w:rPr>
        <w:t>C</w:t>
      </w:r>
      <w:r w:rsidRPr="005325E3">
        <w:rPr>
          <w:rFonts w:ascii="Arial" w:eastAsia="Calibri" w:hAnsi="Arial" w:cs="Arial"/>
          <w:sz w:val="24"/>
          <w:szCs w:val="24"/>
          <w:u w:color="000000"/>
          <w:bdr w:val="nil"/>
          <w:lang w:val="es-ES_tradnl" w:eastAsia="es-CO"/>
        </w:rPr>
        <w:t>omisiones Séptimas de Senado y Cámara, con el fin de evaluar su eficacia.</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15.</w:t>
      </w:r>
      <w:r w:rsidRPr="005325E3">
        <w:rPr>
          <w:rFonts w:ascii="Arial" w:eastAsia="Calibri" w:hAnsi="Arial" w:cs="Arial"/>
          <w:sz w:val="24"/>
          <w:szCs w:val="24"/>
          <w:u w:color="000000"/>
          <w:bdr w:val="nil"/>
          <w:lang w:val="es-ES_tradnl" w:eastAsia="es-CO"/>
        </w:rPr>
        <w:t xml:space="preserve"> Modifíquese el </w:t>
      </w:r>
      <w:r w:rsidR="00965EDD">
        <w:rPr>
          <w:rFonts w:ascii="Arial" w:eastAsia="Calibri" w:hAnsi="Arial" w:cs="Arial"/>
          <w:sz w:val="24"/>
          <w:szCs w:val="24"/>
          <w:u w:color="000000"/>
          <w:bdr w:val="nil"/>
          <w:lang w:val="es-ES_tradnl" w:eastAsia="es-CO"/>
        </w:rPr>
        <w:t>A</w:t>
      </w:r>
      <w:r w:rsidRPr="005325E3">
        <w:rPr>
          <w:rFonts w:ascii="Arial" w:eastAsia="Calibri" w:hAnsi="Arial" w:cs="Arial"/>
          <w:sz w:val="24"/>
          <w:szCs w:val="24"/>
          <w:u w:color="000000"/>
          <w:bdr w:val="nil"/>
          <w:lang w:val="es-ES_tradnl" w:eastAsia="es-CO"/>
        </w:rPr>
        <w:t>rtículo 2º de la Ley 919 de 2004 el cual quedará así:</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r w:rsidRPr="00582799">
        <w:rPr>
          <w:rFonts w:ascii="Arial" w:eastAsia="Calibri" w:hAnsi="Arial" w:cs="Arial"/>
          <w:b/>
          <w:iCs/>
          <w:sz w:val="24"/>
          <w:szCs w:val="24"/>
          <w:u w:color="000000"/>
          <w:bdr w:val="nil"/>
          <w:lang w:val="es-ES_tradnl" w:eastAsia="es-CO"/>
        </w:rPr>
        <w:t>Artículo 2°</w:t>
      </w:r>
      <w:r w:rsidRPr="005325E3">
        <w:rPr>
          <w:rFonts w:ascii="Arial" w:eastAsia="Calibri" w:hAnsi="Arial" w:cs="Arial"/>
          <w:iCs/>
          <w:sz w:val="24"/>
          <w:szCs w:val="24"/>
          <w:u w:color="000000"/>
          <w:bdr w:val="nil"/>
          <w:lang w:val="es-ES_tradnl" w:eastAsia="es-CO"/>
        </w:rPr>
        <w:t>. Quien trafique, compre, venda o comercialice componentes anatómicos humanos, incurrirá en pena de tres (3) a seis (6) años de prisión.</w:t>
      </w: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r w:rsidRPr="00582799">
        <w:rPr>
          <w:rFonts w:ascii="Arial" w:eastAsia="Calibri" w:hAnsi="Arial" w:cs="Arial"/>
          <w:b/>
          <w:iCs/>
          <w:sz w:val="24"/>
          <w:szCs w:val="24"/>
          <w:u w:color="000000"/>
          <w:bdr w:val="nil"/>
          <w:lang w:val="es-ES_tradnl" w:eastAsia="es-CO"/>
        </w:rPr>
        <w:t>Parágrafo 1</w:t>
      </w:r>
      <w:r w:rsidRPr="005325E3">
        <w:rPr>
          <w:rFonts w:ascii="Arial" w:eastAsia="Calibri" w:hAnsi="Arial" w:cs="Arial"/>
          <w:iCs/>
          <w:sz w:val="24"/>
          <w:szCs w:val="24"/>
          <w:u w:color="000000"/>
          <w:bdr w:val="nil"/>
          <w:lang w:val="es-ES_tradnl" w:eastAsia="es-CO"/>
        </w:rPr>
        <w:t>. En la misma pena incurrirá quien sustraiga un componente anatómico de un cadáver o de una persona sin la correspondiente autorización, quien participe en calidad de intermediario en la compra, venta o comercialización del componente o quien realice publicidad sobre la necesidad de un órgano o tejido sobre su disponibilidad, ofreciendo o buscando algún tipo de gratificación o remuneración.</w:t>
      </w: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r w:rsidRPr="00582799">
        <w:rPr>
          <w:rFonts w:ascii="Arial" w:eastAsia="Calibri" w:hAnsi="Arial" w:cs="Arial"/>
          <w:b/>
          <w:iCs/>
          <w:sz w:val="24"/>
          <w:szCs w:val="24"/>
          <w:u w:color="000000"/>
          <w:bdr w:val="nil"/>
          <w:lang w:val="es-ES_tradnl" w:eastAsia="es-CO"/>
        </w:rPr>
        <w:t>Parágrafo 2</w:t>
      </w:r>
      <w:r w:rsidRPr="005325E3">
        <w:rPr>
          <w:rFonts w:ascii="Arial" w:eastAsia="Calibri" w:hAnsi="Arial" w:cs="Arial"/>
          <w:iCs/>
          <w:sz w:val="24"/>
          <w:szCs w:val="24"/>
          <w:u w:color="000000"/>
          <w:bdr w:val="nil"/>
          <w:lang w:val="es-ES_tradnl" w:eastAsia="es-CO"/>
        </w:rPr>
        <w:t>.</w:t>
      </w:r>
      <w:r w:rsidR="00582799">
        <w:rPr>
          <w:rFonts w:ascii="Arial" w:eastAsia="Calibri" w:hAnsi="Arial" w:cs="Arial"/>
          <w:iCs/>
          <w:sz w:val="24"/>
          <w:szCs w:val="24"/>
          <w:u w:color="000000"/>
          <w:bdr w:val="nil"/>
          <w:lang w:val="es-ES_tradnl" w:eastAsia="es-CO"/>
        </w:rPr>
        <w:t xml:space="preserve"> </w:t>
      </w:r>
      <w:r w:rsidRPr="005325E3">
        <w:rPr>
          <w:rFonts w:ascii="Arial" w:eastAsia="Calibri" w:hAnsi="Arial" w:cs="Arial"/>
          <w:iCs/>
          <w:sz w:val="24"/>
          <w:szCs w:val="24"/>
          <w:u w:color="000000"/>
          <w:bdr w:val="nil"/>
          <w:lang w:val="es-ES_tradnl" w:eastAsia="es-CO"/>
        </w:rPr>
        <w:t>Cuando la conducta se realice con el fin de comercializar los componentes anatómicos humanos en el exterior la pena se aumentará de la mitad al doble de la pena.</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16.</w:t>
      </w:r>
      <w:r w:rsidRPr="005325E3">
        <w:rPr>
          <w:rFonts w:ascii="Arial" w:eastAsia="Calibri" w:hAnsi="Arial" w:cs="Arial"/>
          <w:sz w:val="24"/>
          <w:szCs w:val="24"/>
          <w:u w:color="000000"/>
          <w:bdr w:val="nil"/>
          <w:lang w:val="es-ES_tradnl" w:eastAsia="es-CO"/>
        </w:rPr>
        <w:t xml:space="preserve"> Modifíquese el </w:t>
      </w:r>
      <w:r w:rsidR="00965EDD">
        <w:rPr>
          <w:rFonts w:ascii="Arial" w:eastAsia="Calibri" w:hAnsi="Arial" w:cs="Arial"/>
          <w:sz w:val="24"/>
          <w:szCs w:val="24"/>
          <w:u w:color="000000"/>
          <w:bdr w:val="nil"/>
          <w:lang w:val="es-ES_tradnl" w:eastAsia="es-CO"/>
        </w:rPr>
        <w:t>A</w:t>
      </w:r>
      <w:r w:rsidRPr="005325E3">
        <w:rPr>
          <w:rFonts w:ascii="Arial" w:eastAsia="Calibri" w:hAnsi="Arial" w:cs="Arial"/>
          <w:sz w:val="24"/>
          <w:szCs w:val="24"/>
          <w:u w:color="000000"/>
          <w:bdr w:val="nil"/>
          <w:lang w:val="es-ES_tradnl" w:eastAsia="es-CO"/>
        </w:rPr>
        <w:t>rtículo 3º de la Ley 919 de 2004 el cual quedará así:</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ind w:left="284"/>
        <w:jc w:val="both"/>
        <w:rPr>
          <w:rFonts w:ascii="Arial" w:eastAsia="Arial" w:hAnsi="Arial" w:cs="Arial"/>
          <w:iCs/>
          <w:sz w:val="24"/>
          <w:szCs w:val="24"/>
          <w:u w:color="000000"/>
          <w:bdr w:val="nil"/>
          <w:lang w:val="es-ES_tradnl" w:eastAsia="es-CO"/>
        </w:rPr>
      </w:pPr>
      <w:r w:rsidRPr="00582799">
        <w:rPr>
          <w:rFonts w:ascii="Arial" w:eastAsia="Calibri" w:hAnsi="Arial" w:cs="Arial"/>
          <w:b/>
          <w:iCs/>
          <w:sz w:val="24"/>
          <w:szCs w:val="24"/>
          <w:u w:color="000000"/>
          <w:bdr w:val="nil"/>
          <w:lang w:val="es-ES_tradnl" w:eastAsia="es-CO"/>
        </w:rPr>
        <w:t>Artículo 3º</w:t>
      </w:r>
      <w:r w:rsidRPr="005325E3">
        <w:rPr>
          <w:rFonts w:ascii="Arial" w:eastAsia="Calibri" w:hAnsi="Arial" w:cs="Arial"/>
          <w:iCs/>
          <w:sz w:val="24"/>
          <w:szCs w:val="24"/>
          <w:u w:color="000000"/>
          <w:bdr w:val="nil"/>
          <w:lang w:val="es-ES_tradnl" w:eastAsia="es-CO"/>
        </w:rPr>
        <w:t>. Las instituciones autor</w:t>
      </w:r>
      <w:bookmarkStart w:id="0" w:name="_GoBack"/>
      <w:bookmarkEnd w:id="0"/>
      <w:r w:rsidRPr="005325E3">
        <w:rPr>
          <w:rFonts w:ascii="Arial" w:eastAsia="Calibri" w:hAnsi="Arial" w:cs="Arial"/>
          <w:iCs/>
          <w:sz w:val="24"/>
          <w:szCs w:val="24"/>
          <w:u w:color="000000"/>
          <w:bdr w:val="nil"/>
          <w:lang w:val="es-ES_tradnl" w:eastAsia="es-CO"/>
        </w:rPr>
        <w:t xml:space="preserve">izadas como Bancos de Componentes Anatómicos y Centros de Trasplantes que participen de un proceso de extracción o trasplante contraviniendo la presente ley y las normas previstas en la Ley 73 de 1988, serán sancionadas con la clausura total y definitiva del establecimiento. </w:t>
      </w: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p>
    <w:p w:rsidR="00164F15" w:rsidRPr="005325E3" w:rsidRDefault="00164F15" w:rsidP="00164F15">
      <w:pPr>
        <w:pBdr>
          <w:top w:val="nil"/>
          <w:left w:val="nil"/>
          <w:bottom w:val="nil"/>
          <w:right w:val="nil"/>
          <w:between w:val="nil"/>
          <w:bar w:val="nil"/>
        </w:pBdr>
        <w:spacing w:after="0"/>
        <w:jc w:val="both"/>
        <w:rPr>
          <w:rFonts w:ascii="Arial" w:eastAsia="Arial" w:hAnsi="Arial" w:cs="Arial"/>
          <w:sz w:val="24"/>
          <w:szCs w:val="24"/>
          <w:u w:color="000000"/>
          <w:bdr w:val="nil"/>
          <w:lang w:val="es-ES_tradnl" w:eastAsia="es-CO"/>
        </w:rPr>
      </w:pPr>
      <w:r w:rsidRPr="005325E3">
        <w:rPr>
          <w:rFonts w:ascii="Arial" w:eastAsia="Calibri" w:hAnsi="Arial" w:cs="Arial"/>
          <w:b/>
          <w:sz w:val="24"/>
          <w:szCs w:val="24"/>
          <w:u w:color="000000"/>
          <w:bdr w:val="nil"/>
          <w:lang w:val="es-ES_tradnl" w:eastAsia="es-CO"/>
        </w:rPr>
        <w:t>Artículo 17.</w:t>
      </w:r>
      <w:r w:rsidRPr="005325E3">
        <w:rPr>
          <w:rFonts w:ascii="Arial" w:eastAsia="Calibri" w:hAnsi="Arial" w:cs="Arial"/>
          <w:sz w:val="24"/>
          <w:szCs w:val="24"/>
          <w:u w:color="000000"/>
          <w:bdr w:val="nil"/>
          <w:lang w:val="es-ES_tradnl" w:eastAsia="es-CO"/>
        </w:rPr>
        <w:t xml:space="preserve"> </w:t>
      </w:r>
      <w:r w:rsidRPr="002D6043">
        <w:rPr>
          <w:rFonts w:ascii="Arial" w:eastAsia="Calibri" w:hAnsi="Arial" w:cs="Arial"/>
          <w:iCs/>
          <w:sz w:val="24"/>
          <w:szCs w:val="24"/>
          <w:u w:color="000000"/>
          <w:bdr w:val="nil"/>
          <w:lang w:val="es-ES_tradnl" w:eastAsia="es-CO"/>
        </w:rPr>
        <w:t>Vigencia</w:t>
      </w:r>
      <w:r w:rsidRPr="005325E3">
        <w:rPr>
          <w:rFonts w:ascii="Arial" w:eastAsia="Calibri" w:hAnsi="Arial" w:cs="Arial"/>
          <w:i/>
          <w:iCs/>
          <w:sz w:val="24"/>
          <w:szCs w:val="24"/>
          <w:u w:color="000000"/>
          <w:bdr w:val="nil"/>
          <w:lang w:val="es-ES_tradnl" w:eastAsia="es-CO"/>
        </w:rPr>
        <w:t xml:space="preserve">. </w:t>
      </w:r>
      <w:r w:rsidRPr="005325E3">
        <w:rPr>
          <w:rFonts w:ascii="Arial" w:eastAsia="Calibri" w:hAnsi="Arial" w:cs="Arial"/>
          <w:sz w:val="24"/>
          <w:szCs w:val="24"/>
          <w:u w:color="000000"/>
          <w:bdr w:val="nil"/>
          <w:lang w:val="es-ES_tradnl" w:eastAsia="es-CO"/>
        </w:rPr>
        <w:t>Esta ley rige a partir del momento de su promulgación y deroga las disposiciones que le sean contrarias.</w:t>
      </w:r>
    </w:p>
    <w:p w:rsidR="00164F15" w:rsidRPr="005325E3" w:rsidRDefault="00164F15" w:rsidP="00164F15">
      <w:pPr>
        <w:pBdr>
          <w:top w:val="nil"/>
          <w:left w:val="nil"/>
          <w:bottom w:val="nil"/>
          <w:right w:val="nil"/>
          <w:between w:val="nil"/>
          <w:bar w:val="nil"/>
        </w:pBdr>
        <w:spacing w:after="0"/>
        <w:jc w:val="both"/>
        <w:rPr>
          <w:rFonts w:ascii="Arial" w:eastAsia="Arial" w:hAnsi="Arial" w:cs="Arial"/>
          <w:color w:val="000000"/>
          <w:sz w:val="24"/>
          <w:szCs w:val="24"/>
          <w:u w:color="000000"/>
          <w:bdr w:val="nil"/>
          <w:lang w:val="es-ES_tradnl" w:eastAsia="es-CO"/>
        </w:rPr>
      </w:pPr>
    </w:p>
    <w:p w:rsidR="00F659FB" w:rsidRDefault="00FF10C1" w:rsidP="00F659FB">
      <w:pPr>
        <w:jc w:val="both"/>
        <w:rPr>
          <w:rFonts w:ascii="Arial" w:hAnsi="Arial" w:cs="Arial"/>
        </w:rPr>
      </w:pPr>
      <w:r>
        <w:rPr>
          <w:rFonts w:ascii="Arial" w:hAnsi="Arial" w:cs="Arial"/>
          <w:sz w:val="24"/>
          <w:szCs w:val="24"/>
        </w:rPr>
        <w:t xml:space="preserve">En los anteriores términos fue aprobado el presente Proyecto de Ley sin modificaciones según consta en el Acta No. </w:t>
      </w:r>
      <w:r w:rsidR="002D6043">
        <w:rPr>
          <w:rFonts w:ascii="Arial" w:hAnsi="Arial" w:cs="Arial"/>
          <w:sz w:val="24"/>
          <w:szCs w:val="24"/>
        </w:rPr>
        <w:t>41</w:t>
      </w:r>
      <w:r>
        <w:rPr>
          <w:rFonts w:ascii="Arial" w:hAnsi="Arial" w:cs="Arial"/>
          <w:sz w:val="24"/>
          <w:szCs w:val="24"/>
        </w:rPr>
        <w:t xml:space="preserve"> de </w:t>
      </w:r>
      <w:r w:rsidR="002D6043">
        <w:rPr>
          <w:rFonts w:ascii="Arial" w:hAnsi="Arial" w:cs="Arial"/>
          <w:sz w:val="24"/>
          <w:szCs w:val="24"/>
        </w:rPr>
        <w:t>abril 14</w:t>
      </w:r>
      <w:r>
        <w:rPr>
          <w:rFonts w:ascii="Arial" w:hAnsi="Arial" w:cs="Arial"/>
          <w:sz w:val="24"/>
          <w:szCs w:val="24"/>
        </w:rPr>
        <w:t>/15</w:t>
      </w:r>
      <w:r w:rsidR="005C6A06">
        <w:rPr>
          <w:rFonts w:ascii="Arial" w:hAnsi="Arial" w:cs="Arial"/>
          <w:sz w:val="24"/>
          <w:szCs w:val="24"/>
        </w:rPr>
        <w:t>. Así mi</w:t>
      </w:r>
      <w:r w:rsidR="005C6A06" w:rsidRPr="00155F23">
        <w:rPr>
          <w:rFonts w:ascii="Arial" w:hAnsi="Arial" w:cs="Arial"/>
          <w:sz w:val="24"/>
          <w:szCs w:val="24"/>
        </w:rPr>
        <w:t>smo fue anunciado e</w:t>
      </w:r>
      <w:r w:rsidR="005C6A06">
        <w:rPr>
          <w:rFonts w:ascii="Arial" w:hAnsi="Arial" w:cs="Arial"/>
          <w:sz w:val="24"/>
          <w:szCs w:val="24"/>
        </w:rPr>
        <w:t>l</w:t>
      </w:r>
      <w:r w:rsidR="005C6A06" w:rsidRPr="00155F23">
        <w:rPr>
          <w:rFonts w:ascii="Arial" w:hAnsi="Arial" w:cs="Arial"/>
          <w:sz w:val="24"/>
          <w:szCs w:val="24"/>
        </w:rPr>
        <w:t xml:space="preserve"> día </w:t>
      </w:r>
      <w:r w:rsidR="00F659FB">
        <w:rPr>
          <w:rFonts w:ascii="Arial" w:hAnsi="Arial" w:cs="Arial"/>
          <w:sz w:val="24"/>
          <w:szCs w:val="24"/>
        </w:rPr>
        <w:t>03</w:t>
      </w:r>
      <w:r w:rsidR="005C6A06">
        <w:rPr>
          <w:rFonts w:ascii="Arial" w:hAnsi="Arial" w:cs="Arial"/>
          <w:sz w:val="24"/>
          <w:szCs w:val="24"/>
        </w:rPr>
        <w:t xml:space="preserve"> </w:t>
      </w:r>
      <w:r w:rsidR="005C6A06" w:rsidRPr="00155F23">
        <w:rPr>
          <w:rFonts w:ascii="Arial" w:hAnsi="Arial" w:cs="Arial"/>
          <w:sz w:val="24"/>
          <w:szCs w:val="24"/>
        </w:rPr>
        <w:t xml:space="preserve">de </w:t>
      </w:r>
      <w:r w:rsidR="005C6A06">
        <w:rPr>
          <w:rFonts w:ascii="Arial" w:hAnsi="Arial" w:cs="Arial"/>
          <w:sz w:val="24"/>
          <w:szCs w:val="24"/>
        </w:rPr>
        <w:t xml:space="preserve">diciembre </w:t>
      </w:r>
      <w:r w:rsidR="005C6A06" w:rsidRPr="00155F23">
        <w:rPr>
          <w:rFonts w:ascii="Arial" w:hAnsi="Arial" w:cs="Arial"/>
          <w:sz w:val="24"/>
          <w:szCs w:val="24"/>
        </w:rPr>
        <w:t xml:space="preserve">de 2.014 según </w:t>
      </w:r>
      <w:r w:rsidR="005C6A06">
        <w:rPr>
          <w:rFonts w:ascii="Arial" w:hAnsi="Arial" w:cs="Arial"/>
          <w:sz w:val="24"/>
          <w:szCs w:val="24"/>
        </w:rPr>
        <w:t>A</w:t>
      </w:r>
      <w:r w:rsidR="005C6A06" w:rsidRPr="00155F23">
        <w:rPr>
          <w:rFonts w:ascii="Arial" w:hAnsi="Arial" w:cs="Arial"/>
          <w:sz w:val="24"/>
          <w:szCs w:val="24"/>
        </w:rPr>
        <w:t xml:space="preserve">cta No. </w:t>
      </w:r>
      <w:r w:rsidR="005C6A06">
        <w:rPr>
          <w:rFonts w:ascii="Arial" w:hAnsi="Arial" w:cs="Arial"/>
          <w:sz w:val="24"/>
          <w:szCs w:val="24"/>
        </w:rPr>
        <w:t>3</w:t>
      </w:r>
      <w:r w:rsidR="00F659FB">
        <w:rPr>
          <w:rFonts w:ascii="Arial" w:hAnsi="Arial" w:cs="Arial"/>
          <w:sz w:val="24"/>
          <w:szCs w:val="24"/>
        </w:rPr>
        <w:t>1</w:t>
      </w:r>
      <w:r w:rsidR="005C6A06" w:rsidRPr="00155F23">
        <w:rPr>
          <w:rFonts w:ascii="Arial" w:hAnsi="Arial" w:cs="Arial"/>
          <w:sz w:val="24"/>
          <w:szCs w:val="24"/>
        </w:rPr>
        <w:t xml:space="preserve"> de esa misma fecha</w:t>
      </w:r>
      <w:r w:rsidR="00F659FB">
        <w:rPr>
          <w:rFonts w:ascii="Arial" w:hAnsi="Arial" w:cs="Arial"/>
          <w:sz w:val="24"/>
          <w:szCs w:val="24"/>
        </w:rPr>
        <w:t xml:space="preserve"> </w:t>
      </w:r>
      <w:r w:rsidR="005271EB">
        <w:rPr>
          <w:rFonts w:ascii="Arial" w:hAnsi="Arial" w:cs="Arial"/>
          <w:sz w:val="24"/>
          <w:szCs w:val="24"/>
        </w:rPr>
        <w:t>y</w:t>
      </w:r>
      <w:r w:rsidR="00F659FB">
        <w:rPr>
          <w:rFonts w:ascii="Arial" w:hAnsi="Arial" w:cs="Arial"/>
          <w:sz w:val="24"/>
          <w:szCs w:val="24"/>
        </w:rPr>
        <w:t xml:space="preserve"> el </w:t>
      </w:r>
      <w:r w:rsidR="002D6043">
        <w:rPr>
          <w:rFonts w:ascii="Arial" w:hAnsi="Arial" w:cs="Arial"/>
          <w:sz w:val="24"/>
          <w:szCs w:val="24"/>
        </w:rPr>
        <w:t xml:space="preserve">08 </w:t>
      </w:r>
      <w:r w:rsidR="00F659FB">
        <w:rPr>
          <w:rFonts w:ascii="Arial" w:hAnsi="Arial" w:cs="Arial"/>
          <w:sz w:val="24"/>
          <w:szCs w:val="24"/>
        </w:rPr>
        <w:t xml:space="preserve">de </w:t>
      </w:r>
      <w:r w:rsidR="002D6043">
        <w:rPr>
          <w:rFonts w:ascii="Arial" w:hAnsi="Arial" w:cs="Arial"/>
          <w:sz w:val="24"/>
          <w:szCs w:val="24"/>
        </w:rPr>
        <w:t xml:space="preserve">abril </w:t>
      </w:r>
      <w:r w:rsidR="00F659FB">
        <w:rPr>
          <w:rFonts w:ascii="Arial" w:hAnsi="Arial" w:cs="Arial"/>
          <w:sz w:val="24"/>
          <w:szCs w:val="24"/>
        </w:rPr>
        <w:t xml:space="preserve">de 2015 según Acta No. </w:t>
      </w:r>
      <w:r w:rsidR="002D6043">
        <w:rPr>
          <w:rFonts w:ascii="Arial" w:hAnsi="Arial" w:cs="Arial"/>
          <w:sz w:val="24"/>
          <w:szCs w:val="24"/>
        </w:rPr>
        <w:t>40</w:t>
      </w:r>
      <w:r w:rsidR="00F659FB">
        <w:rPr>
          <w:rFonts w:ascii="Arial" w:hAnsi="Arial" w:cs="Arial"/>
          <w:sz w:val="24"/>
          <w:szCs w:val="24"/>
        </w:rPr>
        <w:t xml:space="preserve"> de esa misma fecha</w:t>
      </w:r>
      <w:r w:rsidR="005C6A06" w:rsidRPr="00155F23">
        <w:rPr>
          <w:rFonts w:ascii="Arial" w:hAnsi="Arial" w:cs="Arial"/>
          <w:sz w:val="24"/>
          <w:szCs w:val="24"/>
        </w:rPr>
        <w:t>.</w:t>
      </w:r>
      <w:r w:rsidR="00F659FB">
        <w:rPr>
          <w:rFonts w:ascii="Arial" w:hAnsi="Arial" w:cs="Arial"/>
        </w:rPr>
        <w:t xml:space="preserve"> </w:t>
      </w:r>
    </w:p>
    <w:p w:rsidR="005C6A06" w:rsidRDefault="005C6A06" w:rsidP="005C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pPr>
    </w:p>
    <w:p w:rsidR="006427AD" w:rsidRDefault="006427AD" w:rsidP="005C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p>
    <w:p w:rsidR="005C6A06" w:rsidRPr="003D3EAC" w:rsidRDefault="002D6043" w:rsidP="005C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Pr>
          <w:rFonts w:ascii="Arial" w:hAnsi="Arial" w:cs="Arial"/>
          <w:b/>
        </w:rPr>
        <w:t>RODRIGO LARA RESTREPO</w:t>
      </w:r>
      <w:r w:rsidR="005C6A06">
        <w:rPr>
          <w:rFonts w:ascii="Arial" w:hAnsi="Arial" w:cs="Arial"/>
          <w:b/>
        </w:rPr>
        <w:t xml:space="preserve"> </w:t>
      </w:r>
      <w:r w:rsidR="005C6A06">
        <w:rPr>
          <w:rFonts w:ascii="Arial" w:hAnsi="Arial" w:cs="Arial"/>
          <w:b/>
        </w:rPr>
        <w:tab/>
      </w:r>
      <w:r>
        <w:rPr>
          <w:rFonts w:ascii="Arial" w:hAnsi="Arial" w:cs="Arial"/>
          <w:b/>
        </w:rPr>
        <w:tab/>
      </w:r>
      <w:r w:rsidR="005C6A06">
        <w:rPr>
          <w:rFonts w:ascii="Arial" w:hAnsi="Arial" w:cs="Arial"/>
          <w:b/>
        </w:rPr>
        <w:tab/>
        <w:t xml:space="preserve">JAIME BUENAHORA FEBRES </w:t>
      </w:r>
    </w:p>
    <w:p w:rsidR="005C6A06" w:rsidRPr="003D3EAC" w:rsidRDefault="005C6A06" w:rsidP="005C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r>
        <w:rPr>
          <w:rFonts w:ascii="Arial" w:hAnsi="Arial" w:cs="Arial"/>
        </w:rPr>
        <w:t xml:space="preserve">Ponente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Presidente </w:t>
      </w:r>
    </w:p>
    <w:p w:rsidR="006427AD" w:rsidRDefault="006427AD" w:rsidP="005C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5C6A06" w:rsidRPr="003D3EAC" w:rsidRDefault="005C6A06" w:rsidP="005C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rPr>
      </w:pPr>
    </w:p>
    <w:p w:rsidR="005C6A06" w:rsidRPr="003D3EAC" w:rsidRDefault="005C6A06" w:rsidP="005C6A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b/>
        </w:rPr>
      </w:pP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b/>
        </w:rPr>
        <w:t>AMPARO YANETH CALDERON PERDOMO</w:t>
      </w:r>
    </w:p>
    <w:p w:rsidR="005908CA" w:rsidRPr="00071218" w:rsidRDefault="005C6A06" w:rsidP="002D60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w:hAnsi="Arial" w:cs="Arial"/>
          <w:sz w:val="24"/>
          <w:szCs w:val="24"/>
        </w:rPr>
      </w:pP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sidRPr="003D3EAC">
        <w:rPr>
          <w:rFonts w:ascii="Arial" w:hAnsi="Arial" w:cs="Arial"/>
        </w:rPr>
        <w:tab/>
      </w:r>
      <w:r>
        <w:rPr>
          <w:rFonts w:ascii="Arial" w:hAnsi="Arial" w:cs="Arial"/>
        </w:rPr>
        <w:t xml:space="preserve">   </w:t>
      </w:r>
      <w:r w:rsidRPr="003D3EAC">
        <w:rPr>
          <w:rFonts w:ascii="Arial" w:hAnsi="Arial" w:cs="Arial"/>
        </w:rPr>
        <w:t>Secretaria</w:t>
      </w:r>
      <w:bookmarkStart w:id="1" w:name="OLE_LINK2"/>
      <w:bookmarkStart w:id="2" w:name="OLE_LINK1"/>
      <w:bookmarkStart w:id="3" w:name="OLE_LINK27"/>
      <w:bookmarkStart w:id="4" w:name="OLE_LINK28"/>
      <w:bookmarkEnd w:id="1"/>
      <w:bookmarkEnd w:id="2"/>
      <w:bookmarkEnd w:id="3"/>
      <w:bookmarkEnd w:id="4"/>
    </w:p>
    <w:sectPr w:rsidR="005908CA" w:rsidRPr="0007121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F3" w:rsidRDefault="00D163F3" w:rsidP="00A90BA7">
      <w:pPr>
        <w:spacing w:after="0" w:line="240" w:lineRule="auto"/>
      </w:pPr>
      <w:r>
        <w:separator/>
      </w:r>
    </w:p>
  </w:endnote>
  <w:endnote w:type="continuationSeparator" w:id="0">
    <w:p w:rsidR="00D163F3" w:rsidRDefault="00D163F3" w:rsidP="00A9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F3" w:rsidRDefault="00D163F3" w:rsidP="00A90BA7">
      <w:pPr>
        <w:spacing w:after="0" w:line="240" w:lineRule="auto"/>
      </w:pPr>
      <w:r>
        <w:separator/>
      </w:r>
    </w:p>
  </w:footnote>
  <w:footnote w:type="continuationSeparator" w:id="0">
    <w:p w:rsidR="00D163F3" w:rsidRDefault="00D163F3" w:rsidP="00A90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BB1" w:rsidRDefault="00EA5BB1">
    <w:pPr>
      <w:pStyle w:val="Encabezado"/>
    </w:pPr>
  </w:p>
  <w:p w:rsidR="00EA5BB1" w:rsidRDefault="00C359DD" w:rsidP="00C359DD">
    <w:pPr>
      <w:pStyle w:val="Encabezado"/>
      <w:jc w:val="center"/>
    </w:pPr>
    <w:r>
      <w:rPr>
        <w:b/>
        <w:noProof/>
        <w:lang w:eastAsia="es-CO"/>
      </w:rPr>
      <w:drawing>
        <wp:inline distT="0" distB="0" distL="0" distR="0" wp14:anchorId="1E5DAF94" wp14:editId="0B2576A5">
          <wp:extent cx="2481580" cy="643748"/>
          <wp:effectExtent l="0" t="0" r="0" b="4445"/>
          <wp:docPr id="1" name="irc_mi" descr="logo_20congres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_20congreso_1"/>
                  <pic:cNvPicPr>
                    <a:picLocks noChangeAspect="1" noChangeArrowheads="1"/>
                  </pic:cNvPicPr>
                </pic:nvPicPr>
                <pic:blipFill>
                  <a:blip r:embed="rId1"/>
                  <a:srcRect/>
                  <a:stretch>
                    <a:fillRect/>
                  </a:stretch>
                </pic:blipFill>
                <pic:spPr bwMode="auto">
                  <a:xfrm>
                    <a:off x="0" y="0"/>
                    <a:ext cx="2491028" cy="646199"/>
                  </a:xfrm>
                  <a:prstGeom prst="rect">
                    <a:avLst/>
                  </a:prstGeom>
                  <a:noFill/>
                  <a:ln w="9525">
                    <a:noFill/>
                    <a:miter lim="800000"/>
                    <a:headEnd/>
                    <a:tailEnd/>
                  </a:ln>
                </pic:spPr>
              </pic:pic>
            </a:graphicData>
          </a:graphic>
        </wp:inline>
      </w:drawing>
    </w:r>
  </w:p>
  <w:p w:rsidR="00EA5BB1" w:rsidRDefault="00EA5B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94D2F"/>
    <w:multiLevelType w:val="hybridMultilevel"/>
    <w:tmpl w:val="04CA3098"/>
    <w:lvl w:ilvl="0" w:tplc="23D8770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C682CEC"/>
    <w:multiLevelType w:val="hybridMultilevel"/>
    <w:tmpl w:val="0D5CD1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A7"/>
    <w:rsid w:val="00011599"/>
    <w:rsid w:val="00066F8E"/>
    <w:rsid w:val="00071218"/>
    <w:rsid w:val="00081B2D"/>
    <w:rsid w:val="00091E52"/>
    <w:rsid w:val="000B5E2C"/>
    <w:rsid w:val="000F2A72"/>
    <w:rsid w:val="000F3BAD"/>
    <w:rsid w:val="00164F15"/>
    <w:rsid w:val="001848DD"/>
    <w:rsid w:val="001B2D55"/>
    <w:rsid w:val="001B46E6"/>
    <w:rsid w:val="001E7463"/>
    <w:rsid w:val="001E7E78"/>
    <w:rsid w:val="001F24B9"/>
    <w:rsid w:val="00236A43"/>
    <w:rsid w:val="0025249D"/>
    <w:rsid w:val="00283B63"/>
    <w:rsid w:val="002C15EF"/>
    <w:rsid w:val="002C3187"/>
    <w:rsid w:val="002D320B"/>
    <w:rsid w:val="002D6043"/>
    <w:rsid w:val="002E33B5"/>
    <w:rsid w:val="00303C3E"/>
    <w:rsid w:val="00315DCD"/>
    <w:rsid w:val="00352855"/>
    <w:rsid w:val="003539CE"/>
    <w:rsid w:val="003B2C12"/>
    <w:rsid w:val="003C485B"/>
    <w:rsid w:val="003D72FD"/>
    <w:rsid w:val="003F4347"/>
    <w:rsid w:val="0040053A"/>
    <w:rsid w:val="00414B04"/>
    <w:rsid w:val="0042060C"/>
    <w:rsid w:val="00437E8E"/>
    <w:rsid w:val="0044733B"/>
    <w:rsid w:val="004570F0"/>
    <w:rsid w:val="00487F09"/>
    <w:rsid w:val="004A0949"/>
    <w:rsid w:val="004A637B"/>
    <w:rsid w:val="004C21DD"/>
    <w:rsid w:val="004C50B0"/>
    <w:rsid w:val="004D0617"/>
    <w:rsid w:val="004D1D2C"/>
    <w:rsid w:val="004D2EF5"/>
    <w:rsid w:val="004F3444"/>
    <w:rsid w:val="004F4ACF"/>
    <w:rsid w:val="005271EB"/>
    <w:rsid w:val="005325E3"/>
    <w:rsid w:val="00541824"/>
    <w:rsid w:val="00562CBD"/>
    <w:rsid w:val="00580FF0"/>
    <w:rsid w:val="00582799"/>
    <w:rsid w:val="00583952"/>
    <w:rsid w:val="005908CA"/>
    <w:rsid w:val="005A2AFD"/>
    <w:rsid w:val="005A60C9"/>
    <w:rsid w:val="005C6A06"/>
    <w:rsid w:val="006046A1"/>
    <w:rsid w:val="006066FD"/>
    <w:rsid w:val="00625368"/>
    <w:rsid w:val="006427AD"/>
    <w:rsid w:val="006521E8"/>
    <w:rsid w:val="00686F29"/>
    <w:rsid w:val="006A3FAC"/>
    <w:rsid w:val="006A54FC"/>
    <w:rsid w:val="006B66D5"/>
    <w:rsid w:val="006C4B07"/>
    <w:rsid w:val="006D5175"/>
    <w:rsid w:val="006E70DA"/>
    <w:rsid w:val="006F1287"/>
    <w:rsid w:val="007372B6"/>
    <w:rsid w:val="00742B92"/>
    <w:rsid w:val="007922C6"/>
    <w:rsid w:val="00796ECE"/>
    <w:rsid w:val="00814A72"/>
    <w:rsid w:val="0085425B"/>
    <w:rsid w:val="008A2C5A"/>
    <w:rsid w:val="008A32F6"/>
    <w:rsid w:val="008B6BEE"/>
    <w:rsid w:val="008C723C"/>
    <w:rsid w:val="008D1EBA"/>
    <w:rsid w:val="00911DC6"/>
    <w:rsid w:val="0092303B"/>
    <w:rsid w:val="0092523E"/>
    <w:rsid w:val="009564D0"/>
    <w:rsid w:val="00960C80"/>
    <w:rsid w:val="00965EDD"/>
    <w:rsid w:val="009774B5"/>
    <w:rsid w:val="00992FDE"/>
    <w:rsid w:val="009C4FC5"/>
    <w:rsid w:val="009D7B9C"/>
    <w:rsid w:val="009E1F40"/>
    <w:rsid w:val="009E37F3"/>
    <w:rsid w:val="00A27DA3"/>
    <w:rsid w:val="00A41351"/>
    <w:rsid w:val="00A46B77"/>
    <w:rsid w:val="00A51665"/>
    <w:rsid w:val="00A61EB1"/>
    <w:rsid w:val="00A7112C"/>
    <w:rsid w:val="00A8038C"/>
    <w:rsid w:val="00A90BA7"/>
    <w:rsid w:val="00AB1DDE"/>
    <w:rsid w:val="00B03474"/>
    <w:rsid w:val="00B13FC3"/>
    <w:rsid w:val="00B633A8"/>
    <w:rsid w:val="00B64DFF"/>
    <w:rsid w:val="00B92ABC"/>
    <w:rsid w:val="00B96F79"/>
    <w:rsid w:val="00BA3C0A"/>
    <w:rsid w:val="00C02D26"/>
    <w:rsid w:val="00C07B22"/>
    <w:rsid w:val="00C30A66"/>
    <w:rsid w:val="00C359DD"/>
    <w:rsid w:val="00C636BD"/>
    <w:rsid w:val="00CB11D1"/>
    <w:rsid w:val="00CD578E"/>
    <w:rsid w:val="00CE1754"/>
    <w:rsid w:val="00D048F8"/>
    <w:rsid w:val="00D14A24"/>
    <w:rsid w:val="00D163F3"/>
    <w:rsid w:val="00D27DF1"/>
    <w:rsid w:val="00D41E2B"/>
    <w:rsid w:val="00D5604A"/>
    <w:rsid w:val="00D60D25"/>
    <w:rsid w:val="00D7531B"/>
    <w:rsid w:val="00D856F4"/>
    <w:rsid w:val="00DA6576"/>
    <w:rsid w:val="00DE45C9"/>
    <w:rsid w:val="00E00090"/>
    <w:rsid w:val="00E70187"/>
    <w:rsid w:val="00E70D3E"/>
    <w:rsid w:val="00E71670"/>
    <w:rsid w:val="00E76A49"/>
    <w:rsid w:val="00E9559E"/>
    <w:rsid w:val="00EA5BB1"/>
    <w:rsid w:val="00EE469E"/>
    <w:rsid w:val="00EE624F"/>
    <w:rsid w:val="00EE759B"/>
    <w:rsid w:val="00F16D36"/>
    <w:rsid w:val="00F612C8"/>
    <w:rsid w:val="00F6438A"/>
    <w:rsid w:val="00F656F9"/>
    <w:rsid w:val="00F659FB"/>
    <w:rsid w:val="00F679FC"/>
    <w:rsid w:val="00F82405"/>
    <w:rsid w:val="00F8401D"/>
    <w:rsid w:val="00F873ED"/>
    <w:rsid w:val="00F92D1C"/>
    <w:rsid w:val="00FB4572"/>
    <w:rsid w:val="00FB7634"/>
    <w:rsid w:val="00FE41B7"/>
    <w:rsid w:val="00FF10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E3C642-AD8B-4A46-8FE0-7B623C0E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90B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0BA7"/>
    <w:rPr>
      <w:sz w:val="20"/>
      <w:szCs w:val="20"/>
    </w:rPr>
  </w:style>
  <w:style w:type="character" w:styleId="Refdenotaalpie">
    <w:name w:val="footnote reference"/>
    <w:basedOn w:val="Fuentedeprrafopredeter"/>
    <w:uiPriority w:val="99"/>
    <w:semiHidden/>
    <w:unhideWhenUsed/>
    <w:rsid w:val="00A90BA7"/>
    <w:rPr>
      <w:vertAlign w:val="superscript"/>
    </w:rPr>
  </w:style>
  <w:style w:type="paragraph" w:styleId="Prrafodelista">
    <w:name w:val="List Paragraph"/>
    <w:basedOn w:val="Normal"/>
    <w:uiPriority w:val="34"/>
    <w:qFormat/>
    <w:rsid w:val="00FB7634"/>
    <w:pPr>
      <w:ind w:left="720"/>
      <w:contextualSpacing/>
    </w:pPr>
  </w:style>
  <w:style w:type="character" w:customStyle="1" w:styleId="apple-converted-space">
    <w:name w:val="apple-converted-space"/>
    <w:basedOn w:val="Fuentedeprrafopredeter"/>
    <w:rsid w:val="001B2D55"/>
  </w:style>
  <w:style w:type="character" w:styleId="Hipervnculo">
    <w:name w:val="Hyperlink"/>
    <w:basedOn w:val="Fuentedeprrafopredeter"/>
    <w:uiPriority w:val="99"/>
    <w:unhideWhenUsed/>
    <w:rsid w:val="00625368"/>
    <w:rPr>
      <w:color w:val="0000FF" w:themeColor="hyperlink"/>
      <w:u w:val="single"/>
    </w:rPr>
  </w:style>
  <w:style w:type="paragraph" w:styleId="Encabezado">
    <w:name w:val="header"/>
    <w:basedOn w:val="Normal"/>
    <w:link w:val="EncabezadoCar"/>
    <w:uiPriority w:val="99"/>
    <w:unhideWhenUsed/>
    <w:rsid w:val="00091E5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1E52"/>
  </w:style>
  <w:style w:type="paragraph" w:styleId="Piedepgina">
    <w:name w:val="footer"/>
    <w:basedOn w:val="Normal"/>
    <w:link w:val="PiedepginaCar"/>
    <w:uiPriority w:val="99"/>
    <w:unhideWhenUsed/>
    <w:rsid w:val="00091E5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1E52"/>
  </w:style>
  <w:style w:type="paragraph" w:styleId="Textodeglobo">
    <w:name w:val="Balloon Text"/>
    <w:basedOn w:val="Normal"/>
    <w:link w:val="TextodegloboCar"/>
    <w:uiPriority w:val="99"/>
    <w:semiHidden/>
    <w:unhideWhenUsed/>
    <w:rsid w:val="00EA5B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737">
      <w:bodyDiv w:val="1"/>
      <w:marLeft w:val="0"/>
      <w:marRight w:val="0"/>
      <w:marTop w:val="0"/>
      <w:marBottom w:val="0"/>
      <w:divBdr>
        <w:top w:val="none" w:sz="0" w:space="0" w:color="auto"/>
        <w:left w:val="none" w:sz="0" w:space="0" w:color="auto"/>
        <w:bottom w:val="none" w:sz="0" w:space="0" w:color="auto"/>
        <w:right w:val="none" w:sz="0" w:space="0" w:color="auto"/>
      </w:divBdr>
    </w:div>
    <w:div w:id="283006346">
      <w:bodyDiv w:val="1"/>
      <w:marLeft w:val="0"/>
      <w:marRight w:val="0"/>
      <w:marTop w:val="0"/>
      <w:marBottom w:val="0"/>
      <w:divBdr>
        <w:top w:val="none" w:sz="0" w:space="0" w:color="auto"/>
        <w:left w:val="none" w:sz="0" w:space="0" w:color="auto"/>
        <w:bottom w:val="none" w:sz="0" w:space="0" w:color="auto"/>
        <w:right w:val="none" w:sz="0" w:space="0" w:color="auto"/>
      </w:divBdr>
    </w:div>
    <w:div w:id="343479475">
      <w:bodyDiv w:val="1"/>
      <w:marLeft w:val="0"/>
      <w:marRight w:val="0"/>
      <w:marTop w:val="0"/>
      <w:marBottom w:val="0"/>
      <w:divBdr>
        <w:top w:val="none" w:sz="0" w:space="0" w:color="auto"/>
        <w:left w:val="none" w:sz="0" w:space="0" w:color="auto"/>
        <w:bottom w:val="none" w:sz="0" w:space="0" w:color="auto"/>
        <w:right w:val="none" w:sz="0" w:space="0" w:color="auto"/>
      </w:divBdr>
    </w:div>
    <w:div w:id="423696590">
      <w:bodyDiv w:val="1"/>
      <w:marLeft w:val="0"/>
      <w:marRight w:val="0"/>
      <w:marTop w:val="0"/>
      <w:marBottom w:val="0"/>
      <w:divBdr>
        <w:top w:val="none" w:sz="0" w:space="0" w:color="auto"/>
        <w:left w:val="none" w:sz="0" w:space="0" w:color="auto"/>
        <w:bottom w:val="none" w:sz="0" w:space="0" w:color="auto"/>
        <w:right w:val="none" w:sz="0" w:space="0" w:color="auto"/>
      </w:divBdr>
    </w:div>
    <w:div w:id="466902337">
      <w:bodyDiv w:val="1"/>
      <w:marLeft w:val="0"/>
      <w:marRight w:val="0"/>
      <w:marTop w:val="0"/>
      <w:marBottom w:val="0"/>
      <w:divBdr>
        <w:top w:val="none" w:sz="0" w:space="0" w:color="auto"/>
        <w:left w:val="none" w:sz="0" w:space="0" w:color="auto"/>
        <w:bottom w:val="none" w:sz="0" w:space="0" w:color="auto"/>
        <w:right w:val="none" w:sz="0" w:space="0" w:color="auto"/>
      </w:divBdr>
    </w:div>
    <w:div w:id="925185943">
      <w:bodyDiv w:val="1"/>
      <w:marLeft w:val="0"/>
      <w:marRight w:val="0"/>
      <w:marTop w:val="0"/>
      <w:marBottom w:val="0"/>
      <w:divBdr>
        <w:top w:val="none" w:sz="0" w:space="0" w:color="auto"/>
        <w:left w:val="none" w:sz="0" w:space="0" w:color="auto"/>
        <w:bottom w:val="none" w:sz="0" w:space="0" w:color="auto"/>
        <w:right w:val="none" w:sz="0" w:space="0" w:color="auto"/>
      </w:divBdr>
    </w:div>
    <w:div w:id="930624378">
      <w:bodyDiv w:val="1"/>
      <w:marLeft w:val="0"/>
      <w:marRight w:val="0"/>
      <w:marTop w:val="0"/>
      <w:marBottom w:val="0"/>
      <w:divBdr>
        <w:top w:val="none" w:sz="0" w:space="0" w:color="auto"/>
        <w:left w:val="none" w:sz="0" w:space="0" w:color="auto"/>
        <w:bottom w:val="none" w:sz="0" w:space="0" w:color="auto"/>
        <w:right w:val="none" w:sz="0" w:space="0" w:color="auto"/>
      </w:divBdr>
    </w:div>
    <w:div w:id="1126120692">
      <w:bodyDiv w:val="1"/>
      <w:marLeft w:val="0"/>
      <w:marRight w:val="0"/>
      <w:marTop w:val="0"/>
      <w:marBottom w:val="0"/>
      <w:divBdr>
        <w:top w:val="none" w:sz="0" w:space="0" w:color="auto"/>
        <w:left w:val="none" w:sz="0" w:space="0" w:color="auto"/>
        <w:bottom w:val="none" w:sz="0" w:space="0" w:color="auto"/>
        <w:right w:val="none" w:sz="0" w:space="0" w:color="auto"/>
      </w:divBdr>
    </w:div>
    <w:div w:id="1259948861">
      <w:bodyDiv w:val="1"/>
      <w:marLeft w:val="0"/>
      <w:marRight w:val="0"/>
      <w:marTop w:val="0"/>
      <w:marBottom w:val="0"/>
      <w:divBdr>
        <w:top w:val="none" w:sz="0" w:space="0" w:color="auto"/>
        <w:left w:val="none" w:sz="0" w:space="0" w:color="auto"/>
        <w:bottom w:val="none" w:sz="0" w:space="0" w:color="auto"/>
        <w:right w:val="none" w:sz="0" w:space="0" w:color="auto"/>
      </w:divBdr>
    </w:div>
    <w:div w:id="1396120404">
      <w:bodyDiv w:val="1"/>
      <w:marLeft w:val="0"/>
      <w:marRight w:val="0"/>
      <w:marTop w:val="0"/>
      <w:marBottom w:val="0"/>
      <w:divBdr>
        <w:top w:val="none" w:sz="0" w:space="0" w:color="auto"/>
        <w:left w:val="none" w:sz="0" w:space="0" w:color="auto"/>
        <w:bottom w:val="none" w:sz="0" w:space="0" w:color="auto"/>
        <w:right w:val="none" w:sz="0" w:space="0" w:color="auto"/>
      </w:divBdr>
    </w:div>
    <w:div w:id="1498612114">
      <w:bodyDiv w:val="1"/>
      <w:marLeft w:val="0"/>
      <w:marRight w:val="0"/>
      <w:marTop w:val="0"/>
      <w:marBottom w:val="0"/>
      <w:divBdr>
        <w:top w:val="none" w:sz="0" w:space="0" w:color="auto"/>
        <w:left w:val="none" w:sz="0" w:space="0" w:color="auto"/>
        <w:bottom w:val="none" w:sz="0" w:space="0" w:color="auto"/>
        <w:right w:val="none" w:sz="0" w:space="0" w:color="auto"/>
      </w:divBdr>
    </w:div>
    <w:div w:id="1554271121">
      <w:bodyDiv w:val="1"/>
      <w:marLeft w:val="0"/>
      <w:marRight w:val="0"/>
      <w:marTop w:val="0"/>
      <w:marBottom w:val="0"/>
      <w:divBdr>
        <w:top w:val="none" w:sz="0" w:space="0" w:color="auto"/>
        <w:left w:val="none" w:sz="0" w:space="0" w:color="auto"/>
        <w:bottom w:val="none" w:sz="0" w:space="0" w:color="auto"/>
        <w:right w:val="none" w:sz="0" w:space="0" w:color="auto"/>
      </w:divBdr>
    </w:div>
    <w:div w:id="204678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238F-7AB6-40F6-95FD-167DC68F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1180</Words>
  <Characters>6492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EQUIPO 9</dc:creator>
  <cp:lastModifiedBy>soniacortes</cp:lastModifiedBy>
  <cp:revision>7</cp:revision>
  <cp:lastPrinted>2015-03-25T14:18:00Z</cp:lastPrinted>
  <dcterms:created xsi:type="dcterms:W3CDTF">2015-04-15T15:38:00Z</dcterms:created>
  <dcterms:modified xsi:type="dcterms:W3CDTF">2015-04-15T16:18:00Z</dcterms:modified>
</cp:coreProperties>
</file>